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21E13" w14:textId="77777777" w:rsidR="00E84D9F" w:rsidRPr="00E84D9F" w:rsidRDefault="00E84D9F" w:rsidP="00E84D9F">
      <w:pPr>
        <w:shd w:val="clear" w:color="auto" w:fill="FFFFFF"/>
        <w:spacing w:after="100" w:afterAutospacing="1" w:line="240" w:lineRule="auto"/>
        <w:rPr>
          <w:rFonts w:ascii="Titillium Web" w:eastAsia="Times New Roman" w:hAnsi="Titillium Web" w:cs="Times New Roman"/>
          <w:color w:val="1A1A1A"/>
          <w:kern w:val="0"/>
          <w:lang w:eastAsia="it-IT"/>
          <w14:ligatures w14:val="none"/>
        </w:rPr>
      </w:pPr>
      <w:r w:rsidRPr="00E84D9F">
        <w:rPr>
          <w:rFonts w:ascii="Titillium Web" w:eastAsia="Times New Roman" w:hAnsi="Titillium Web" w:cs="Times New Roman"/>
          <w:color w:val="1A1A1A"/>
          <w:kern w:val="0"/>
          <w:lang w:eastAsia="it-IT"/>
          <w14:ligatures w14:val="none"/>
        </w:rPr>
        <w:t>Attivazione del Centro Operativo Comunale (C.O.C.)</w:t>
      </w:r>
    </w:p>
    <w:p w14:paraId="6998BA9B" w14:textId="77777777" w:rsidR="00E84D9F" w:rsidRPr="00E84D9F" w:rsidRDefault="00E84D9F" w:rsidP="00E84D9F">
      <w:pPr>
        <w:numPr>
          <w:ilvl w:val="0"/>
          <w:numId w:val="1"/>
        </w:numPr>
        <w:shd w:val="clear" w:color="auto" w:fill="FFFFFF"/>
        <w:spacing w:before="100" w:beforeAutospacing="1" w:after="100" w:afterAutospacing="1" w:line="240" w:lineRule="auto"/>
        <w:jc w:val="both"/>
        <w:rPr>
          <w:rFonts w:ascii="Titillium Web" w:eastAsia="Times New Roman" w:hAnsi="Titillium Web" w:cs="Times New Roman"/>
          <w:color w:val="1A1A1A"/>
          <w:kern w:val="0"/>
          <w:lang w:eastAsia="it-IT"/>
          <w14:ligatures w14:val="none"/>
        </w:rPr>
      </w:pPr>
      <w:r w:rsidRPr="00E84D9F">
        <w:rPr>
          <w:rFonts w:ascii="Titillium Web" w:eastAsia="Times New Roman" w:hAnsi="Titillium Web" w:cs="Times New Roman"/>
          <w:color w:val="1A1A1A"/>
          <w:kern w:val="0"/>
          <w:lang w:eastAsia="it-IT"/>
          <w14:ligatures w14:val="none"/>
        </w:rPr>
        <w:t>Attivazione temporanea del Centro Operativo Comunale (COC) presso la sede istituzionale (sala COC) al fine di assicurare, nell’ambito del territorio del Comune di Ottaviano la direzione ed il coordinamento per la valutazione dell’evolversi della situazione seguendo le direttive regionali della SOR – Sala Operativa Regionale;</w:t>
      </w:r>
    </w:p>
    <w:p w14:paraId="233BC851" w14:textId="38AFB3A2" w:rsidR="00E84D9F" w:rsidRDefault="00E84D9F" w:rsidP="00E84D9F">
      <w:pPr>
        <w:numPr>
          <w:ilvl w:val="0"/>
          <w:numId w:val="1"/>
        </w:numPr>
        <w:shd w:val="clear" w:color="auto" w:fill="FFFFFF"/>
        <w:spacing w:before="100" w:beforeAutospacing="1" w:after="100" w:afterAutospacing="1" w:line="240" w:lineRule="auto"/>
        <w:rPr>
          <w:rFonts w:ascii="Titillium Web" w:eastAsia="Times New Roman" w:hAnsi="Titillium Web" w:cs="Times New Roman"/>
          <w:color w:val="1A1A1A"/>
          <w:kern w:val="0"/>
          <w:lang w:eastAsia="it-IT"/>
          <w14:ligatures w14:val="none"/>
        </w:rPr>
      </w:pPr>
      <w:r w:rsidRPr="00E84D9F">
        <w:rPr>
          <w:rFonts w:ascii="Titillium Web" w:eastAsia="Times New Roman" w:hAnsi="Titillium Web" w:cs="Times New Roman"/>
          <w:color w:val="1A1A1A"/>
          <w:kern w:val="0"/>
          <w:lang w:eastAsia="it-IT"/>
          <w14:ligatures w14:val="none"/>
        </w:rPr>
        <w:t xml:space="preserve">Apertura del Centro Operativo Comunale (COC) fino a cessata emergenza, con il compito di supportare il Commissario Straordinario, presso la Sala Operativa sita in Ottaviano al Comando di polizia Municipale del Comune, Via Lucci n. 63, con i seguenti orari: dalle ore </w:t>
      </w:r>
      <w:r w:rsidR="000B4FEC">
        <w:rPr>
          <w:rFonts w:ascii="Titillium Web" w:eastAsia="Times New Roman" w:hAnsi="Titillium Web" w:cs="Times New Roman"/>
          <w:color w:val="1A1A1A"/>
          <w:kern w:val="0"/>
          <w:lang w:eastAsia="it-IT"/>
          <w14:ligatures w14:val="none"/>
        </w:rPr>
        <w:t>1</w:t>
      </w:r>
      <w:r w:rsidR="00F30385">
        <w:rPr>
          <w:rFonts w:ascii="Titillium Web" w:eastAsia="Times New Roman" w:hAnsi="Titillium Web" w:cs="Times New Roman"/>
          <w:color w:val="1A1A1A"/>
          <w:kern w:val="0"/>
          <w:lang w:eastAsia="it-IT"/>
          <w14:ligatures w14:val="none"/>
        </w:rPr>
        <w:t>5</w:t>
      </w:r>
      <w:r w:rsidRPr="00E84D9F">
        <w:rPr>
          <w:rFonts w:ascii="Titillium Web" w:eastAsia="Times New Roman" w:hAnsi="Titillium Web" w:cs="Times New Roman"/>
          <w:color w:val="1A1A1A"/>
          <w:kern w:val="0"/>
          <w:lang w:eastAsia="it-IT"/>
          <w14:ligatures w14:val="none"/>
        </w:rPr>
        <w:t xml:space="preserve">:00 del giorno </w:t>
      </w:r>
      <w:r w:rsidR="00F30385">
        <w:rPr>
          <w:rFonts w:ascii="Titillium Web" w:eastAsia="Times New Roman" w:hAnsi="Titillium Web" w:cs="Times New Roman"/>
          <w:color w:val="1A1A1A"/>
          <w:kern w:val="0"/>
          <w:lang w:eastAsia="it-IT"/>
          <w14:ligatures w14:val="none"/>
        </w:rPr>
        <w:t>8 ottobre fino alle 15.00 del giorno 9 ottobre</w:t>
      </w:r>
      <w:r w:rsidRPr="00E84D9F">
        <w:rPr>
          <w:rFonts w:ascii="Titillium Web" w:eastAsia="Times New Roman" w:hAnsi="Titillium Web" w:cs="Times New Roman"/>
          <w:color w:val="1A1A1A"/>
          <w:kern w:val="0"/>
          <w:lang w:eastAsia="it-IT"/>
          <w14:ligatures w14:val="none"/>
        </w:rPr>
        <w:t xml:space="preserve"> 2026 </w:t>
      </w:r>
      <w:r w:rsidR="00F30385">
        <w:rPr>
          <w:rFonts w:ascii="Titillium Web" w:eastAsia="Times New Roman" w:hAnsi="Titillium Web" w:cs="Times New Roman"/>
          <w:color w:val="1A1A1A"/>
          <w:kern w:val="0"/>
          <w:lang w:eastAsia="it-IT"/>
          <w14:ligatures w14:val="none"/>
        </w:rPr>
        <w:t xml:space="preserve">e in ogni caso </w:t>
      </w:r>
      <w:r w:rsidRPr="00E84D9F">
        <w:rPr>
          <w:rFonts w:ascii="Titillium Web" w:eastAsia="Times New Roman" w:hAnsi="Titillium Web" w:cs="Times New Roman"/>
          <w:color w:val="1A1A1A"/>
          <w:kern w:val="0"/>
          <w:lang w:eastAsia="it-IT"/>
          <w14:ligatures w14:val="none"/>
        </w:rPr>
        <w:t>sino a cessata emergenza;</w:t>
      </w:r>
    </w:p>
    <w:p w14:paraId="4A14002B" w14:textId="7693A8D1" w:rsidR="00953E20" w:rsidRPr="00953E20" w:rsidRDefault="00953E20" w:rsidP="00953E20">
      <w:pPr>
        <w:numPr>
          <w:ilvl w:val="0"/>
          <w:numId w:val="1"/>
        </w:numPr>
        <w:shd w:val="clear" w:color="auto" w:fill="FFFFFF"/>
        <w:spacing w:before="100" w:beforeAutospacing="1" w:after="100" w:afterAutospacing="1" w:line="240" w:lineRule="auto"/>
        <w:jc w:val="both"/>
        <w:rPr>
          <w:rFonts w:ascii="Titillium Web" w:eastAsia="Times New Roman" w:hAnsi="Titillium Web" w:cs="Times New Roman"/>
          <w:color w:val="1A1A1A"/>
          <w:kern w:val="0"/>
          <w:lang w:eastAsia="it-IT"/>
          <w14:ligatures w14:val="none"/>
        </w:rPr>
      </w:pPr>
      <w:r w:rsidRPr="00953E20">
        <w:rPr>
          <w:rFonts w:ascii="Titillium Web" w:eastAsia="Times New Roman" w:hAnsi="Titillium Web" w:cs="Times New Roman"/>
          <w:color w:val="1A1A1A"/>
          <w:kern w:val="0"/>
          <w:lang w:eastAsia="it-IT"/>
          <w14:ligatures w14:val="none"/>
        </w:rPr>
        <w:t>Di nominare referenti per il COC del Comune di Ottaviano, l’Ing. Giacomo Notaro,</w:t>
      </w:r>
      <w:r w:rsidR="00F061F0">
        <w:rPr>
          <w:rFonts w:ascii="Titillium Web" w:eastAsia="Times New Roman" w:hAnsi="Titillium Web" w:cs="Times New Roman"/>
          <w:color w:val="1A1A1A"/>
          <w:kern w:val="0"/>
          <w:lang w:eastAsia="it-IT"/>
          <w14:ligatures w14:val="none"/>
        </w:rPr>
        <w:t xml:space="preserve"> </w:t>
      </w:r>
      <w:r w:rsidRPr="00953E20">
        <w:rPr>
          <w:rFonts w:ascii="Titillium Web" w:eastAsia="Times New Roman" w:hAnsi="Titillium Web" w:cs="Times New Roman"/>
          <w:color w:val="1A1A1A"/>
          <w:kern w:val="0"/>
          <w:lang w:eastAsia="it-IT"/>
          <w14:ligatures w14:val="none"/>
        </w:rPr>
        <w:t>in affiancamento con l’arch. Natalina Vangone, come referente istituzionale incaricato del coordinamento del personale tecnico, cell. 3334836806</w:t>
      </w:r>
      <w:r>
        <w:rPr>
          <w:rFonts w:ascii="Titillium Web" w:eastAsia="Times New Roman" w:hAnsi="Titillium Web" w:cs="Times New Roman"/>
          <w:color w:val="1A1A1A"/>
          <w:kern w:val="0"/>
          <w:lang w:eastAsia="it-IT"/>
          <w14:ligatures w14:val="none"/>
        </w:rPr>
        <w:t xml:space="preserve"> </w:t>
      </w:r>
      <w:r w:rsidRPr="00953E20">
        <w:rPr>
          <w:rFonts w:ascii="Titillium Web" w:eastAsia="Times New Roman" w:hAnsi="Titillium Web" w:cs="Times New Roman"/>
          <w:color w:val="1A1A1A"/>
          <w:kern w:val="0"/>
          <w:lang w:eastAsia="it-IT"/>
          <w14:ligatures w14:val="none"/>
        </w:rPr>
        <w:t>il Comandante della polizia Municipale Rosa Vallone come referente istituzionale incaricato del coordinamento del personale di vigilanza, cell. 3494125598;</w:t>
      </w:r>
    </w:p>
    <w:p w14:paraId="7C573B7F" w14:textId="50259A03" w:rsidR="00953E20" w:rsidRPr="00953E20" w:rsidRDefault="00953E20" w:rsidP="00953E20">
      <w:pPr>
        <w:numPr>
          <w:ilvl w:val="0"/>
          <w:numId w:val="1"/>
        </w:numPr>
        <w:shd w:val="clear" w:color="auto" w:fill="FFFFFF"/>
        <w:spacing w:before="100" w:beforeAutospacing="1" w:after="100" w:afterAutospacing="1" w:line="240" w:lineRule="auto"/>
        <w:jc w:val="both"/>
        <w:rPr>
          <w:rFonts w:ascii="Titillium Web" w:eastAsia="Times New Roman" w:hAnsi="Titillium Web" w:cs="Times New Roman"/>
          <w:color w:val="1A1A1A"/>
          <w:kern w:val="0"/>
          <w:lang w:eastAsia="it-IT"/>
          <w14:ligatures w14:val="none"/>
        </w:rPr>
      </w:pPr>
      <w:r w:rsidRPr="00953E20">
        <w:rPr>
          <w:rFonts w:ascii="Titillium Web" w:eastAsia="Times New Roman" w:hAnsi="Titillium Web" w:cs="Times New Roman"/>
          <w:color w:val="1A1A1A"/>
          <w:kern w:val="0"/>
          <w:lang w:eastAsia="it-IT"/>
          <w14:ligatures w14:val="none"/>
        </w:rPr>
        <w:t>L'attivazione e la gestione di misure preventive e/o necessarie per il contrasto di eventuali effetti sul territorio (interruzioni o limitazioni</w:t>
      </w:r>
      <w:r>
        <w:rPr>
          <w:rFonts w:ascii="Titillium Web" w:eastAsia="Times New Roman" w:hAnsi="Titillium Web" w:cs="Times New Roman"/>
          <w:color w:val="1A1A1A"/>
          <w:kern w:val="0"/>
          <w:lang w:eastAsia="it-IT"/>
          <w14:ligatures w14:val="none"/>
        </w:rPr>
        <w:t xml:space="preserve"> </w:t>
      </w:r>
      <w:r w:rsidRPr="00953E20">
        <w:rPr>
          <w:rFonts w:ascii="Titillium Web" w:eastAsia="Times New Roman" w:hAnsi="Titillium Web" w:cs="Times New Roman"/>
          <w:color w:val="1A1A1A"/>
          <w:kern w:val="0"/>
          <w:lang w:eastAsia="it-IT"/>
          <w14:ligatures w14:val="none"/>
        </w:rPr>
        <w:t>stradali, effetti localizzati).</w:t>
      </w:r>
    </w:p>
    <w:p w14:paraId="39927B16" w14:textId="4F61E420" w:rsidR="00953E20" w:rsidRPr="00953E20" w:rsidRDefault="00953E20" w:rsidP="00953E20">
      <w:pPr>
        <w:numPr>
          <w:ilvl w:val="0"/>
          <w:numId w:val="1"/>
        </w:numPr>
        <w:shd w:val="clear" w:color="auto" w:fill="FFFFFF"/>
        <w:spacing w:before="100" w:beforeAutospacing="1" w:after="100" w:afterAutospacing="1" w:line="240" w:lineRule="auto"/>
        <w:jc w:val="both"/>
        <w:rPr>
          <w:rFonts w:ascii="Titillium Web" w:eastAsia="Times New Roman" w:hAnsi="Titillium Web" w:cs="Times New Roman"/>
          <w:color w:val="1A1A1A"/>
          <w:kern w:val="0"/>
          <w:lang w:eastAsia="it-IT"/>
          <w14:ligatures w14:val="none"/>
        </w:rPr>
      </w:pPr>
      <w:r w:rsidRPr="00953E20">
        <w:rPr>
          <w:rFonts w:ascii="Titillium Web" w:eastAsia="Times New Roman" w:hAnsi="Titillium Web" w:cs="Times New Roman"/>
          <w:color w:val="1A1A1A"/>
          <w:kern w:val="0"/>
          <w:lang w:eastAsia="it-IT"/>
          <w14:ligatures w14:val="none"/>
        </w:rPr>
        <w:t>L’attivazione delle seguenti Funzioni di sorveglianza: Via Alveo Zennillo e area sottostante il Castello Mediceo</w:t>
      </w:r>
      <w:r w:rsidR="000B4FEC">
        <w:rPr>
          <w:rFonts w:ascii="Titillium Web" w:eastAsia="Times New Roman" w:hAnsi="Titillium Web" w:cs="Times New Roman"/>
          <w:color w:val="1A1A1A"/>
          <w:kern w:val="0"/>
          <w:lang w:eastAsia="it-IT"/>
          <w14:ligatures w14:val="none"/>
        </w:rPr>
        <w:t>.</w:t>
      </w:r>
    </w:p>
    <w:p w14:paraId="3C0BDB4B" w14:textId="77777777" w:rsidR="00B03822" w:rsidRDefault="00B03822"/>
    <w:sectPr w:rsidR="00B038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75F70"/>
    <w:multiLevelType w:val="multilevel"/>
    <w:tmpl w:val="2FC2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F33FE"/>
    <w:multiLevelType w:val="multilevel"/>
    <w:tmpl w:val="B85C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498746">
    <w:abstractNumId w:val="1"/>
  </w:num>
  <w:num w:numId="2" w16cid:durableId="794324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822"/>
    <w:rsid w:val="000B4FEC"/>
    <w:rsid w:val="00573D51"/>
    <w:rsid w:val="005858AD"/>
    <w:rsid w:val="00953E20"/>
    <w:rsid w:val="00B03822"/>
    <w:rsid w:val="00C611DB"/>
    <w:rsid w:val="00D14A82"/>
    <w:rsid w:val="00DD26B7"/>
    <w:rsid w:val="00E84D9F"/>
    <w:rsid w:val="00F061F0"/>
    <w:rsid w:val="00F30385"/>
    <w:rsid w:val="00F86E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007A7"/>
  <w15:chartTrackingRefBased/>
  <w15:docId w15:val="{62FBBA82-FC7E-48D0-B73C-A7DD3BFE2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038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038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0382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0382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0382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0382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0382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0382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0382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382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0382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0382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0382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0382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0382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0382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0382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03822"/>
    <w:rPr>
      <w:rFonts w:eastAsiaTheme="majorEastAsia" w:cstheme="majorBidi"/>
      <w:color w:val="272727" w:themeColor="text1" w:themeTint="D8"/>
    </w:rPr>
  </w:style>
  <w:style w:type="paragraph" w:styleId="Titolo">
    <w:name w:val="Title"/>
    <w:basedOn w:val="Normale"/>
    <w:next w:val="Normale"/>
    <w:link w:val="TitoloCarattere"/>
    <w:uiPriority w:val="10"/>
    <w:qFormat/>
    <w:rsid w:val="00B038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0382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382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0382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0382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03822"/>
    <w:rPr>
      <w:i/>
      <w:iCs/>
      <w:color w:val="404040" w:themeColor="text1" w:themeTint="BF"/>
    </w:rPr>
  </w:style>
  <w:style w:type="paragraph" w:styleId="Paragrafoelenco">
    <w:name w:val="List Paragraph"/>
    <w:basedOn w:val="Normale"/>
    <w:uiPriority w:val="34"/>
    <w:qFormat/>
    <w:rsid w:val="00B03822"/>
    <w:pPr>
      <w:ind w:left="720"/>
      <w:contextualSpacing/>
    </w:pPr>
  </w:style>
  <w:style w:type="character" w:styleId="Enfasiintensa">
    <w:name w:val="Intense Emphasis"/>
    <w:basedOn w:val="Carpredefinitoparagrafo"/>
    <w:uiPriority w:val="21"/>
    <w:qFormat/>
    <w:rsid w:val="00B03822"/>
    <w:rPr>
      <w:i/>
      <w:iCs/>
      <w:color w:val="2F5496" w:themeColor="accent1" w:themeShade="BF"/>
    </w:rPr>
  </w:style>
  <w:style w:type="paragraph" w:styleId="Citazioneintensa">
    <w:name w:val="Intense Quote"/>
    <w:basedOn w:val="Normale"/>
    <w:next w:val="Normale"/>
    <w:link w:val="CitazioneintensaCarattere"/>
    <w:uiPriority w:val="30"/>
    <w:qFormat/>
    <w:rsid w:val="00B038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03822"/>
    <w:rPr>
      <w:i/>
      <w:iCs/>
      <w:color w:val="2F5496" w:themeColor="accent1" w:themeShade="BF"/>
    </w:rPr>
  </w:style>
  <w:style w:type="character" w:styleId="Riferimentointenso">
    <w:name w:val="Intense Reference"/>
    <w:basedOn w:val="Carpredefinitoparagrafo"/>
    <w:uiPriority w:val="32"/>
    <w:qFormat/>
    <w:rsid w:val="00B038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PCottaviano2025</dc:creator>
  <cp:keywords/>
  <dc:description/>
  <cp:lastModifiedBy>Enza Fontana (Segretario Generale)</cp:lastModifiedBy>
  <cp:revision>3</cp:revision>
  <dcterms:created xsi:type="dcterms:W3CDTF">2026-10-08T13:11:00Z</dcterms:created>
  <dcterms:modified xsi:type="dcterms:W3CDTF">2026-10-08T13:13:00Z</dcterms:modified>
</cp:coreProperties>
</file>